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7DA57" w14:textId="77777777" w:rsidR="009D3F32" w:rsidRPr="009D3F32" w:rsidRDefault="009D3F32" w:rsidP="009D3F32">
      <w:pPr>
        <w:spacing w:after="0" w:line="480" w:lineRule="atLeast"/>
        <w:rPr>
          <w:rFonts w:ascii="GT Walsheim Pro Regular" w:eastAsia="Times New Roman" w:hAnsi="GT Walsheim Pro Regular" w:cs="Arial"/>
          <w:b/>
          <w:bCs/>
          <w:color w:val="000000"/>
          <w:kern w:val="0"/>
          <w:sz w:val="39"/>
          <w:szCs w:val="39"/>
          <w14:ligatures w14:val="none"/>
        </w:rPr>
      </w:pPr>
      <w:r w:rsidRPr="009D3F32">
        <w:rPr>
          <w:rFonts w:ascii="GT Walsheim Pro Regular" w:eastAsia="Times New Roman" w:hAnsi="GT Walsheim Pro Regular" w:cs="Arial"/>
          <w:b/>
          <w:bCs/>
          <w:color w:val="000000"/>
          <w:kern w:val="0"/>
          <w:sz w:val="39"/>
          <w:szCs w:val="39"/>
          <w14:ligatures w14:val="none"/>
        </w:rPr>
        <w:t>Lloyd Feldman</w:t>
      </w:r>
    </w:p>
    <w:p w14:paraId="41500855" w14:textId="77777777" w:rsidR="009D3F32" w:rsidRPr="009D3F32" w:rsidRDefault="009D3F32" w:rsidP="009D3F32">
      <w:pPr>
        <w:spacing w:after="0" w:line="450" w:lineRule="atLeast"/>
        <w:rPr>
          <w:rFonts w:ascii="GT Walsheim Pro Regular" w:eastAsia="Times New Roman" w:hAnsi="GT Walsheim Pro Regular" w:cs="Arial"/>
          <w:b/>
          <w:bCs/>
          <w:color w:val="0070E0"/>
          <w:kern w:val="0"/>
          <w:sz w:val="33"/>
          <w:szCs w:val="33"/>
          <w14:ligatures w14:val="none"/>
        </w:rPr>
      </w:pPr>
      <w:r w:rsidRPr="009D3F32">
        <w:rPr>
          <w:rFonts w:ascii="GT Walsheim Pro Regular" w:eastAsia="Times New Roman" w:hAnsi="GT Walsheim Pro Regular" w:cs="Arial"/>
          <w:b/>
          <w:bCs/>
          <w:color w:val="0070E0"/>
          <w:kern w:val="0"/>
          <w:sz w:val="33"/>
          <w:szCs w:val="33"/>
          <w14:ligatures w14:val="none"/>
        </w:rPr>
        <w:t>Senior Vice-President and General Counsel</w:t>
      </w:r>
    </w:p>
    <w:p w14:paraId="365C7EB8"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14:ligatures w14:val="none"/>
        </w:rPr>
        <w:t>Lloyd Perry Feldman was appointed senior vice-president, general counsel and corporate secretary of Stingray in 2015.</w:t>
      </w:r>
    </w:p>
    <w:p w14:paraId="15762A85"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14:ligatures w14:val="none"/>
        </w:rPr>
        <w:t>Prior to joining Stingray, Mr. Feldman practised law at a major Canadian firm for 21 years – 14 of which as a partner. He specialized in the areas of mergers and acquisitions, corporate and commercial law, and trust and estate law.</w:t>
      </w:r>
    </w:p>
    <w:p w14:paraId="7149E357"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14:ligatures w14:val="none"/>
        </w:rPr>
        <w:t>In addition to having a particular expertise in business acquisitions, Mr. Feldman also has a strong background in tax law which allows him to bring a unique perspective to corporate and commercial transactions. Mr. Feldman is also very active in the community.</w:t>
      </w:r>
    </w:p>
    <w:p w14:paraId="3AA37532"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14:ligatures w14:val="none"/>
        </w:rPr>
        <w:t>He is a trustee of the Jewish General Hospital and is involved in the fundraising efforts of Federation CJA and the Jewish National Fund.</w:t>
      </w:r>
    </w:p>
    <w:p w14:paraId="2BD3CAEB"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14:ligatures w14:val="none"/>
        </w:rPr>
        <w:t>Mr. Feldman holds B.C.L. and LL.B. degrees from McGill University, as well as a B.A. (Political Science) from McGill University. He has been a member of the Québec Bar since 1998.</w:t>
      </w:r>
    </w:p>
    <w:p w14:paraId="1665A5CB" w14:textId="4A18C765" w:rsidR="009D3F32" w:rsidRPr="009D3F32" w:rsidRDefault="009D3F32">
      <w:pPr>
        <w:rPr>
          <w:rFonts w:ascii="GT Walsheim Pro Regular" w:hAnsi="GT Walsheim Pro Regular"/>
        </w:rPr>
      </w:pPr>
      <w:r w:rsidRPr="009D3F32">
        <w:rPr>
          <w:rFonts w:ascii="GT Walsheim Pro Regular" w:hAnsi="GT Walsheim Pro Regular"/>
        </w:rPr>
        <w:br w:type="page"/>
      </w:r>
    </w:p>
    <w:p w14:paraId="472D2C21" w14:textId="77777777" w:rsidR="009D3F32" w:rsidRPr="009D3F32" w:rsidRDefault="009D3F32" w:rsidP="009D3F32">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9D3F32">
        <w:rPr>
          <w:rFonts w:ascii="GT Walsheim Pro Regular" w:eastAsia="Times New Roman" w:hAnsi="GT Walsheim Pro Regular" w:cs="Arial"/>
          <w:b/>
          <w:bCs/>
          <w:color w:val="000000"/>
          <w:kern w:val="0"/>
          <w:sz w:val="39"/>
          <w:szCs w:val="39"/>
          <w:lang w:val="fr-FR"/>
          <w14:ligatures w14:val="none"/>
        </w:rPr>
        <w:lastRenderedPageBreak/>
        <w:t>Lloyd Feldman</w:t>
      </w:r>
    </w:p>
    <w:p w14:paraId="2B02B865" w14:textId="77777777" w:rsidR="009D3F32" w:rsidRPr="009D3F32" w:rsidRDefault="009D3F32" w:rsidP="009D3F32">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9D3F32">
        <w:rPr>
          <w:rFonts w:ascii="GT Walsheim Pro Regular" w:eastAsia="Times New Roman" w:hAnsi="GT Walsheim Pro Regular" w:cs="Arial"/>
          <w:b/>
          <w:bCs/>
          <w:color w:val="0070E0"/>
          <w:kern w:val="0"/>
          <w:sz w:val="33"/>
          <w:szCs w:val="33"/>
          <w:lang w:val="fr-FR"/>
          <w14:ligatures w14:val="none"/>
        </w:rPr>
        <w:t>Vice-président principal, avocat général et secrétaire général</w:t>
      </w:r>
    </w:p>
    <w:p w14:paraId="2268BC55"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9D3F32">
        <w:rPr>
          <w:rFonts w:ascii="GT Walsheim Pro Regular" w:eastAsia="Times New Roman" w:hAnsi="GT Walsheim Pro Regular" w:cs="Times New Roman"/>
          <w:color w:val="000000"/>
          <w:kern w:val="0"/>
          <w:lang w:val="fr-FR"/>
          <w14:ligatures w14:val="none"/>
        </w:rPr>
        <w:t>Lloyd Perry Feldman a été nommé vice-président principal, avocat général et secrétaire général de Stingray en 2015. Avant de se joindre à Stingray, M. Feldman a pratiqué le droit au sein d’un grand cabinet d’avocats canadien pendant 21 ans, dont 14 ans en tant qu’associé. Il est spécialisé dans les fusions et acquisitions, le droit des sociétés, le droit commercial et le droit des fiducies et des successions.</w:t>
      </w:r>
    </w:p>
    <w:p w14:paraId="270DC0DA"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9D3F32">
        <w:rPr>
          <w:rFonts w:ascii="GT Walsheim Pro Regular" w:eastAsia="Times New Roman" w:hAnsi="GT Walsheim Pro Regular" w:cs="Times New Roman"/>
          <w:color w:val="000000"/>
          <w:kern w:val="0"/>
          <w:lang w:val="fr-FR"/>
          <w14:ligatures w14:val="none"/>
        </w:rPr>
        <w:t>En plus de son expertise en acquisition d’entreprises, M. Feldman possède une solide expérience en droit fiscal, ce qui lui permet d’apporter une perspective unique sur les opérations des sociétés et les opérations commerciales.</w:t>
      </w:r>
    </w:p>
    <w:p w14:paraId="55AC38F8"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9D3F32">
        <w:rPr>
          <w:rFonts w:ascii="GT Walsheim Pro Regular" w:eastAsia="Times New Roman" w:hAnsi="GT Walsheim Pro Regular" w:cs="Times New Roman"/>
          <w:color w:val="000000"/>
          <w:kern w:val="0"/>
          <w:lang w:val="fr-FR"/>
          <w14:ligatures w14:val="none"/>
        </w:rPr>
        <w:t>M. Feldman est également très actif dans la collectivité. Il est administrateur de l’Hôpital général juif et participe aux collectes de fonds de la Fédération CJA et du Jewish National Fund.</w:t>
      </w:r>
    </w:p>
    <w:p w14:paraId="4B1270C3" w14:textId="77777777" w:rsidR="009D3F32" w:rsidRPr="009D3F32" w:rsidRDefault="009D3F32" w:rsidP="009D3F3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9D3F32">
        <w:rPr>
          <w:rFonts w:ascii="GT Walsheim Pro Regular" w:eastAsia="Times New Roman" w:hAnsi="GT Walsheim Pro Regular" w:cs="Times New Roman"/>
          <w:color w:val="000000"/>
          <w:kern w:val="0"/>
          <w:lang w:val="fr-FR"/>
          <w14:ligatures w14:val="none"/>
        </w:rPr>
        <w:t xml:space="preserve">M. Feldman est titulaire d’une B.C.L. (licence en droit civil) et d’une L.L.B. (licence en droit), ainsi que d’un B.A. (sciences politiques) de l’Université McGill. </w:t>
      </w:r>
      <w:r w:rsidRPr="009D3F32">
        <w:rPr>
          <w:rFonts w:ascii="GT Walsheim Pro Regular" w:eastAsia="Times New Roman" w:hAnsi="GT Walsheim Pro Regular" w:cs="Times New Roman"/>
          <w:color w:val="000000"/>
          <w:kern w:val="0"/>
          <w14:ligatures w14:val="none"/>
        </w:rPr>
        <w:t xml:space="preserve">Il est </w:t>
      </w:r>
      <w:proofErr w:type="spellStart"/>
      <w:r w:rsidRPr="009D3F32">
        <w:rPr>
          <w:rFonts w:ascii="GT Walsheim Pro Regular" w:eastAsia="Times New Roman" w:hAnsi="GT Walsheim Pro Regular" w:cs="Times New Roman"/>
          <w:color w:val="000000"/>
          <w:kern w:val="0"/>
          <w14:ligatures w14:val="none"/>
        </w:rPr>
        <w:t>membre</w:t>
      </w:r>
      <w:proofErr w:type="spellEnd"/>
      <w:r w:rsidRPr="009D3F32">
        <w:rPr>
          <w:rFonts w:ascii="GT Walsheim Pro Regular" w:eastAsia="Times New Roman" w:hAnsi="GT Walsheim Pro Regular" w:cs="Times New Roman"/>
          <w:color w:val="000000"/>
          <w:kern w:val="0"/>
          <w14:ligatures w14:val="none"/>
        </w:rPr>
        <w:t xml:space="preserve"> </w:t>
      </w:r>
      <w:proofErr w:type="spellStart"/>
      <w:r w:rsidRPr="009D3F32">
        <w:rPr>
          <w:rFonts w:ascii="GT Walsheim Pro Regular" w:eastAsia="Times New Roman" w:hAnsi="GT Walsheim Pro Regular" w:cs="Times New Roman"/>
          <w:color w:val="000000"/>
          <w:kern w:val="0"/>
          <w14:ligatures w14:val="none"/>
        </w:rPr>
        <w:t>du</w:t>
      </w:r>
      <w:proofErr w:type="spellEnd"/>
      <w:r w:rsidRPr="009D3F32">
        <w:rPr>
          <w:rFonts w:ascii="GT Walsheim Pro Regular" w:eastAsia="Times New Roman" w:hAnsi="GT Walsheim Pro Regular" w:cs="Times New Roman"/>
          <w:color w:val="000000"/>
          <w:kern w:val="0"/>
          <w14:ligatures w14:val="none"/>
        </w:rPr>
        <w:t xml:space="preserve"> Barreau du Québec </w:t>
      </w:r>
      <w:proofErr w:type="spellStart"/>
      <w:r w:rsidRPr="009D3F32">
        <w:rPr>
          <w:rFonts w:ascii="GT Walsheim Pro Regular" w:eastAsia="Times New Roman" w:hAnsi="GT Walsheim Pro Regular" w:cs="Times New Roman"/>
          <w:color w:val="000000"/>
          <w:kern w:val="0"/>
          <w14:ligatures w14:val="none"/>
        </w:rPr>
        <w:t>depuis</w:t>
      </w:r>
      <w:proofErr w:type="spellEnd"/>
      <w:r w:rsidRPr="009D3F32">
        <w:rPr>
          <w:rFonts w:ascii="GT Walsheim Pro Regular" w:eastAsia="Times New Roman" w:hAnsi="GT Walsheim Pro Regular" w:cs="Times New Roman"/>
          <w:color w:val="000000"/>
          <w:kern w:val="0"/>
          <w14:ligatures w14:val="none"/>
        </w:rPr>
        <w:t xml:space="preserve"> 1998.</w:t>
      </w:r>
    </w:p>
    <w:p w14:paraId="33A6504C" w14:textId="77777777" w:rsidR="00027E79" w:rsidRDefault="00027E79"/>
    <w:sectPr w:rsidR="00027E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F32"/>
    <w:rsid w:val="00027E79"/>
    <w:rsid w:val="003761C9"/>
    <w:rsid w:val="007B69FE"/>
    <w:rsid w:val="009D3F32"/>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20BD0"/>
  <w15:chartTrackingRefBased/>
  <w15:docId w15:val="{5F27E59A-11A3-3446-AEC1-1AF266E9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3F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F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F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F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F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F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3F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F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F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F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F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F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F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F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F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3F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F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F32"/>
    <w:rPr>
      <w:rFonts w:eastAsiaTheme="majorEastAsia" w:cstheme="majorBidi"/>
      <w:color w:val="272727" w:themeColor="text1" w:themeTint="D8"/>
    </w:rPr>
  </w:style>
  <w:style w:type="paragraph" w:styleId="Title">
    <w:name w:val="Title"/>
    <w:basedOn w:val="Normal"/>
    <w:next w:val="Normal"/>
    <w:link w:val="TitleChar"/>
    <w:uiPriority w:val="10"/>
    <w:qFormat/>
    <w:rsid w:val="009D3F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F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F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F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F32"/>
    <w:pPr>
      <w:spacing w:before="160"/>
      <w:jc w:val="center"/>
    </w:pPr>
    <w:rPr>
      <w:i/>
      <w:iCs/>
      <w:color w:val="404040" w:themeColor="text1" w:themeTint="BF"/>
    </w:rPr>
  </w:style>
  <w:style w:type="character" w:customStyle="1" w:styleId="QuoteChar">
    <w:name w:val="Quote Char"/>
    <w:basedOn w:val="DefaultParagraphFont"/>
    <w:link w:val="Quote"/>
    <w:uiPriority w:val="29"/>
    <w:rsid w:val="009D3F32"/>
    <w:rPr>
      <w:i/>
      <w:iCs/>
      <w:color w:val="404040" w:themeColor="text1" w:themeTint="BF"/>
    </w:rPr>
  </w:style>
  <w:style w:type="paragraph" w:styleId="ListParagraph">
    <w:name w:val="List Paragraph"/>
    <w:basedOn w:val="Normal"/>
    <w:uiPriority w:val="34"/>
    <w:qFormat/>
    <w:rsid w:val="009D3F32"/>
    <w:pPr>
      <w:ind w:left="720"/>
      <w:contextualSpacing/>
    </w:pPr>
  </w:style>
  <w:style w:type="character" w:styleId="IntenseEmphasis">
    <w:name w:val="Intense Emphasis"/>
    <w:basedOn w:val="DefaultParagraphFont"/>
    <w:uiPriority w:val="21"/>
    <w:qFormat/>
    <w:rsid w:val="009D3F32"/>
    <w:rPr>
      <w:i/>
      <w:iCs/>
      <w:color w:val="0F4761" w:themeColor="accent1" w:themeShade="BF"/>
    </w:rPr>
  </w:style>
  <w:style w:type="paragraph" w:styleId="IntenseQuote">
    <w:name w:val="Intense Quote"/>
    <w:basedOn w:val="Normal"/>
    <w:next w:val="Normal"/>
    <w:link w:val="IntenseQuoteChar"/>
    <w:uiPriority w:val="30"/>
    <w:qFormat/>
    <w:rsid w:val="009D3F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F32"/>
    <w:rPr>
      <w:i/>
      <w:iCs/>
      <w:color w:val="0F4761" w:themeColor="accent1" w:themeShade="BF"/>
    </w:rPr>
  </w:style>
  <w:style w:type="character" w:styleId="IntenseReference">
    <w:name w:val="Intense Reference"/>
    <w:basedOn w:val="DefaultParagraphFont"/>
    <w:uiPriority w:val="32"/>
    <w:qFormat/>
    <w:rsid w:val="009D3F32"/>
    <w:rPr>
      <w:b/>
      <w:bCs/>
      <w:smallCaps/>
      <w:color w:val="0F4761" w:themeColor="accent1" w:themeShade="BF"/>
      <w:spacing w:val="5"/>
    </w:rPr>
  </w:style>
  <w:style w:type="paragraph" w:styleId="NormalWeb">
    <w:name w:val="Normal (Web)"/>
    <w:basedOn w:val="Normal"/>
    <w:uiPriority w:val="99"/>
    <w:semiHidden/>
    <w:unhideWhenUsed/>
    <w:rsid w:val="009D3F3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2025-11-07T16:51:00Z</dcterms:created>
  <dcterms:modified xsi:type="dcterms:W3CDTF">2025-11-07T16:52:00Z</dcterms:modified>
</cp:coreProperties>
</file>